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415054" w14:textId="77777777" w:rsidR="004E32FC" w:rsidRDefault="0081577C" w:rsidP="00243DCF">
      <w:pPr>
        <w:pStyle w:val="31"/>
        <w:rPr>
          <w:szCs w:val="17"/>
        </w:rPr>
      </w:pPr>
      <w:bookmarkStart w:id="0" w:name="_Toc484075215"/>
      <w:r>
        <w:rPr>
          <w:noProof/>
        </w:rPr>
        <w:drawing>
          <wp:anchor distT="0" distB="0" distL="114300" distR="114300" simplePos="0" relativeHeight="251659264" behindDoc="0" locked="0" layoutInCell="1" allowOverlap="0" wp14:anchorId="605DB468" wp14:editId="05DEE322">
            <wp:simplePos x="0" y="0"/>
            <wp:positionH relativeFrom="column">
              <wp:posOffset>635</wp:posOffset>
            </wp:positionH>
            <wp:positionV relativeFrom="page">
              <wp:posOffset>544968</wp:posOffset>
            </wp:positionV>
            <wp:extent cx="2416810" cy="630555"/>
            <wp:effectExtent l="0" t="0" r="2540" b="0"/>
            <wp:wrapSquare wrapText="bothSides"/>
            <wp:docPr id="18" name="Рисунок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CBRF_rus_logo_horizontal_10_pantone.png"/>
                    <pic:cNvPicPr/>
                  </pic:nvPicPr>
                  <pic:blipFill rotWithShape="1"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242" t="23362" r="9056" b="23565"/>
                    <a:stretch/>
                  </pic:blipFill>
                  <pic:spPr bwMode="auto">
                    <a:xfrm>
                      <a:off x="0" y="0"/>
                      <a:ext cx="2416810" cy="63055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58B36441" w14:textId="77777777" w:rsidR="00EA2058" w:rsidRDefault="00EA2058" w:rsidP="00EA2058">
      <w:pPr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14:paraId="751A053A" w14:textId="77777777" w:rsidR="00EA2058" w:rsidRPr="00305154" w:rsidRDefault="003B7651" w:rsidP="00EA2058">
      <w:pP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…</w:t>
      </w:r>
      <w:r w:rsidR="00B6751E" w:rsidRPr="00092190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</w:t>
      </w:r>
      <w:r w:rsidR="001F4D33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февраля</w:t>
      </w:r>
      <w:r w:rsidR="00EA2058" w:rsidRPr="00305154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201</w:t>
      </w:r>
      <w:r w:rsidR="00567C44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>9</w:t>
      </w:r>
      <w:r w:rsidR="00EA2058" w:rsidRPr="00305154">
        <w:rPr>
          <w:rFonts w:ascii="Times New Roman" w:eastAsia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  <w:t xml:space="preserve"> года</w:t>
      </w:r>
    </w:p>
    <w:bookmarkEnd w:id="0"/>
    <w:p w14:paraId="0B638B4E" w14:textId="7A2595D5" w:rsidR="009D7E00" w:rsidRDefault="009D7E00" w:rsidP="009D7E00">
      <w:pPr>
        <w:pStyle w:val="31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aps w:val="0"/>
          <w:color w:val="auto"/>
          <w:sz w:val="24"/>
          <w:szCs w:val="24"/>
        </w:rPr>
        <w:t>За год</w:t>
      </w:r>
      <w:r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вклады жителей Тамбовской области </w:t>
      </w:r>
      <w:r>
        <w:rPr>
          <w:rFonts w:ascii="Times New Roman" w:hAnsi="Times New Roman" w:cs="Times New Roman"/>
          <w:caps w:val="0"/>
          <w:color w:val="auto"/>
          <w:sz w:val="24"/>
          <w:szCs w:val="24"/>
        </w:rPr>
        <w:t>выросли почти до 97</w:t>
      </w:r>
      <w:r>
        <w:rPr>
          <w:rFonts w:ascii="Times New Roman" w:hAnsi="Times New Roman" w:cs="Times New Roman"/>
          <w:caps w:val="0"/>
          <w:color w:val="auto"/>
          <w:sz w:val="24"/>
          <w:szCs w:val="24"/>
        </w:rPr>
        <w:t xml:space="preserve"> млрд рублей  </w:t>
      </w:r>
    </w:p>
    <w:p w14:paraId="04E3DEBB" w14:textId="77777777" w:rsidR="009D7E00" w:rsidRPr="00305154" w:rsidRDefault="009D7E00" w:rsidP="009D7E00">
      <w:pPr>
        <w:pStyle w:val="a3"/>
        <w:spacing w:before="0"/>
      </w:pPr>
    </w:p>
    <w:p w14:paraId="6C4FDD00" w14:textId="77777777" w:rsidR="009D7E00" w:rsidRPr="009D7E00" w:rsidRDefault="009D7E00" w:rsidP="009D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E00">
        <w:rPr>
          <w:rFonts w:ascii="Times New Roman" w:hAnsi="Times New Roman" w:cs="Times New Roman"/>
          <w:sz w:val="24"/>
          <w:szCs w:val="24"/>
          <w:lang w:eastAsia="ru-RU"/>
        </w:rPr>
        <w:t>Вклады жителей Тамбовской области за 2018 год увеличились на 8,4% и составили 96,8 млрд рублей. В структуре депозитов населения традиционно преобладают рублевые вклады, доля которых составила 94,2%.</w:t>
      </w:r>
    </w:p>
    <w:p w14:paraId="4EDE3DAA" w14:textId="77777777" w:rsidR="009D7E00" w:rsidRPr="009D7E00" w:rsidRDefault="009D7E00" w:rsidP="009D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E00">
        <w:rPr>
          <w:rFonts w:ascii="Times New Roman" w:hAnsi="Times New Roman" w:cs="Times New Roman"/>
          <w:sz w:val="24"/>
          <w:szCs w:val="24"/>
          <w:lang w:eastAsia="ru-RU"/>
        </w:rPr>
        <w:t xml:space="preserve">Как отмечает управляющий Отделением по Тамбовской области ГУ Банка России по ЦФО Михаил Носенков, вклады населения, как и прежде, занимают основную долю (79,6%) в объеме привлеченных средств. </w:t>
      </w:r>
    </w:p>
    <w:p w14:paraId="3EF0758E" w14:textId="77777777" w:rsidR="009D7E00" w:rsidRPr="009D7E00" w:rsidRDefault="009D7E00" w:rsidP="009D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E00">
        <w:rPr>
          <w:rFonts w:ascii="Times New Roman" w:hAnsi="Times New Roman" w:cs="Times New Roman"/>
          <w:sz w:val="24"/>
          <w:szCs w:val="24"/>
          <w:lang w:eastAsia="ru-RU"/>
        </w:rPr>
        <w:t>«Банковские вклады физических лиц, индивидуальных предпринимателей, а теперь и предприятий малого и микробизнеса застрахованы на сумму 1,4 млн рублей, включая проценты по вкладу. Раньше при отсутствии государственных гарантий крах банка и невозможно</w:t>
      </w:r>
      <w:bookmarkStart w:id="1" w:name="_GoBack"/>
      <w:bookmarkEnd w:id="1"/>
      <w:r w:rsidRPr="009D7E00">
        <w:rPr>
          <w:rFonts w:ascii="Times New Roman" w:hAnsi="Times New Roman" w:cs="Times New Roman"/>
          <w:sz w:val="24"/>
          <w:szCs w:val="24"/>
          <w:lang w:eastAsia="ru-RU"/>
        </w:rPr>
        <w:t>сть вернуть свои средства означали для малых предприятий если не банкротство фирмы, то серьезные финансовые трудности. Теперь же уверенность за сохранность средств делает вложения в банки более привлекательными для представителей малого бизнеса», – прокомментировал Михаил Носенков.</w:t>
      </w:r>
    </w:p>
    <w:p w14:paraId="29DA976A" w14:textId="77777777" w:rsidR="009D7E00" w:rsidRPr="009D7E00" w:rsidRDefault="009D7E00" w:rsidP="009D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E00">
        <w:rPr>
          <w:rFonts w:ascii="Times New Roman" w:hAnsi="Times New Roman" w:cs="Times New Roman"/>
          <w:sz w:val="24"/>
          <w:szCs w:val="24"/>
          <w:lang w:eastAsia="ru-RU"/>
        </w:rPr>
        <w:t>К началу 2019 года объем депозитов юридических лиц в Тамбовской области достиг 9,8 млрд рублей, средства индивидуальных предпринимателей в кредитных организациях составили порядка 2,9 млрд рублей.</w:t>
      </w:r>
    </w:p>
    <w:p w14:paraId="1B6BFA51" w14:textId="56FFAE88" w:rsidR="00305154" w:rsidRDefault="009D7E00" w:rsidP="009D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  <w:r w:rsidRPr="009D7E00">
        <w:rPr>
          <w:rFonts w:ascii="Times New Roman" w:hAnsi="Times New Roman" w:cs="Times New Roman"/>
          <w:sz w:val="24"/>
          <w:szCs w:val="24"/>
          <w:lang w:eastAsia="ru-RU"/>
        </w:rPr>
        <w:t>По состоянию на 01.01.2019 на территории Тамбовской области действовали 1 региональный банк, 2 филиала банков, головные организации которых находятся в другом регионе, 234 внутренних структурных подразделения кредитных организаций (дополнительные, операционные, кредитно-кассовые офисы, операционные кассы).</w:t>
      </w:r>
    </w:p>
    <w:p w14:paraId="29D772AC" w14:textId="4956ED1A" w:rsidR="009D7E00" w:rsidRDefault="009D7E00" w:rsidP="009D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26D2D643" w14:textId="77777777" w:rsidR="009D7E00" w:rsidRPr="00EA2058" w:rsidRDefault="009D7E00" w:rsidP="009D7E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  <w:lang w:eastAsia="ru-RU"/>
        </w:rPr>
      </w:pPr>
    </w:p>
    <w:p w14:paraId="186EBD0F" w14:textId="77777777" w:rsidR="00777451" w:rsidRDefault="00777451" w:rsidP="004E32F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</w:p>
    <w:p w14:paraId="6B57B4CD" w14:textId="77777777" w:rsidR="004E32FC" w:rsidRDefault="004E32FC" w:rsidP="004E32F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305154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Отделение по Тамбовской области </w:t>
      </w:r>
    </w:p>
    <w:p w14:paraId="1EBFF9D6" w14:textId="77777777" w:rsidR="004E32FC" w:rsidRPr="00305154" w:rsidRDefault="004E32FC" w:rsidP="004E32F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305154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Главного управления Банка России </w:t>
      </w:r>
    </w:p>
    <w:p w14:paraId="45E046CE" w14:textId="77777777" w:rsidR="004E32FC" w:rsidRPr="00305154" w:rsidRDefault="004E32FC" w:rsidP="004E32F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305154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 xml:space="preserve">по Центральному федеральному округу </w:t>
      </w:r>
    </w:p>
    <w:p w14:paraId="4809324A" w14:textId="77777777" w:rsidR="004E32FC" w:rsidRPr="00305154" w:rsidRDefault="004E32FC" w:rsidP="004E32FC">
      <w:pPr>
        <w:spacing w:after="0" w:line="240" w:lineRule="auto"/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</w:pPr>
      <w:r w:rsidRPr="00305154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телефон: 8 (4752) 79-30-10;</w:t>
      </w:r>
    </w:p>
    <w:p w14:paraId="23DB187A" w14:textId="77777777" w:rsidR="004E32FC" w:rsidRPr="00305154" w:rsidRDefault="004E32FC" w:rsidP="004E32FC">
      <w:pPr>
        <w:spacing w:after="0" w:line="240" w:lineRule="auto"/>
        <w:rPr>
          <w:rFonts w:ascii="Times New Roman" w:hAnsi="Times New Roman" w:cs="Times New Roman"/>
          <w:b/>
          <w:color w:val="808080" w:themeColor="background1" w:themeShade="80"/>
          <w:sz w:val="24"/>
          <w:szCs w:val="24"/>
          <w:lang w:eastAsia="ru-RU"/>
        </w:rPr>
      </w:pPr>
      <w:r w:rsidRPr="00305154">
        <w:rPr>
          <w:rFonts w:ascii="Times New Roman" w:eastAsia="Times New Roman" w:hAnsi="Times New Roman" w:cs="Times New Roman"/>
          <w:b/>
          <w:color w:val="808080" w:themeColor="background1" w:themeShade="80"/>
          <w:lang w:eastAsia="ru-RU"/>
        </w:rPr>
        <w:t>68media@cbr.ru</w:t>
      </w:r>
    </w:p>
    <w:p w14:paraId="2746C0C3" w14:textId="77777777" w:rsidR="00CF3BC1" w:rsidRDefault="00CF3BC1"/>
    <w:sectPr w:rsidR="00CF3B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visionView w:markup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4D6"/>
    <w:rsid w:val="000271EF"/>
    <w:rsid w:val="000328A0"/>
    <w:rsid w:val="00036E70"/>
    <w:rsid w:val="00092190"/>
    <w:rsid w:val="00096B1A"/>
    <w:rsid w:val="000E2D05"/>
    <w:rsid w:val="001164D6"/>
    <w:rsid w:val="0014304E"/>
    <w:rsid w:val="001F4D33"/>
    <w:rsid w:val="002132D4"/>
    <w:rsid w:val="00243DCF"/>
    <w:rsid w:val="0026506A"/>
    <w:rsid w:val="002F0B00"/>
    <w:rsid w:val="00305154"/>
    <w:rsid w:val="00321B56"/>
    <w:rsid w:val="0036473D"/>
    <w:rsid w:val="003A1EAB"/>
    <w:rsid w:val="003B7651"/>
    <w:rsid w:val="003E4E1B"/>
    <w:rsid w:val="00445BD0"/>
    <w:rsid w:val="004D1089"/>
    <w:rsid w:val="004E32FC"/>
    <w:rsid w:val="004E52AA"/>
    <w:rsid w:val="00567C44"/>
    <w:rsid w:val="0065500C"/>
    <w:rsid w:val="006576ED"/>
    <w:rsid w:val="006B005F"/>
    <w:rsid w:val="006C5C81"/>
    <w:rsid w:val="006F1E87"/>
    <w:rsid w:val="00777451"/>
    <w:rsid w:val="0081577C"/>
    <w:rsid w:val="00826715"/>
    <w:rsid w:val="00844513"/>
    <w:rsid w:val="008A5BD8"/>
    <w:rsid w:val="00931F36"/>
    <w:rsid w:val="00952B5B"/>
    <w:rsid w:val="00964875"/>
    <w:rsid w:val="009D7E00"/>
    <w:rsid w:val="009E0D2F"/>
    <w:rsid w:val="00A269D7"/>
    <w:rsid w:val="00A5282C"/>
    <w:rsid w:val="00AA09B6"/>
    <w:rsid w:val="00AD4DF7"/>
    <w:rsid w:val="00B6751E"/>
    <w:rsid w:val="00B83BBD"/>
    <w:rsid w:val="00BB5462"/>
    <w:rsid w:val="00C567A9"/>
    <w:rsid w:val="00C77AF0"/>
    <w:rsid w:val="00C82C1B"/>
    <w:rsid w:val="00CC2306"/>
    <w:rsid w:val="00CF2757"/>
    <w:rsid w:val="00CF32B1"/>
    <w:rsid w:val="00CF3BC1"/>
    <w:rsid w:val="00D11AC7"/>
    <w:rsid w:val="00DD50BD"/>
    <w:rsid w:val="00DE1FED"/>
    <w:rsid w:val="00E12C8C"/>
    <w:rsid w:val="00E2468F"/>
    <w:rsid w:val="00E566B1"/>
    <w:rsid w:val="00EA2058"/>
    <w:rsid w:val="00ED2376"/>
    <w:rsid w:val="00EF48A5"/>
    <w:rsid w:val="00F207B8"/>
    <w:rsid w:val="00F25044"/>
    <w:rsid w:val="00F53559"/>
    <w:rsid w:val="00F808F0"/>
    <w:rsid w:val="00F82BC0"/>
    <w:rsid w:val="00F839DD"/>
    <w:rsid w:val="00FA4AE1"/>
    <w:rsid w:val="00FB23E2"/>
    <w:rsid w:val="00FD3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D0BCD7"/>
  <w15:docId w15:val="{107E990D-9773-45C4-97E7-EE2AA13034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207B8"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43DC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1">
    <w:name w:val="Заголовок обзора 3"/>
    <w:basedOn w:val="3"/>
    <w:next w:val="a3"/>
    <w:rsid w:val="00243DCF"/>
    <w:pPr>
      <w:keepLines w:val="0"/>
      <w:spacing w:before="480" w:after="60" w:line="240" w:lineRule="auto"/>
    </w:pPr>
    <w:rPr>
      <w:rFonts w:ascii="Arial" w:eastAsia="Times New Roman" w:hAnsi="Arial" w:cs="Arial"/>
      <w:caps/>
      <w:color w:val="5F5F5F"/>
      <w:lang w:eastAsia="ru-RU"/>
    </w:rPr>
  </w:style>
  <w:style w:type="paragraph" w:customStyle="1" w:styleId="a3">
    <w:name w:val="Стиль обзора"/>
    <w:basedOn w:val="a4"/>
    <w:rsid w:val="00243DCF"/>
    <w:pPr>
      <w:spacing w:before="120" w:after="0" w:line="240" w:lineRule="auto"/>
      <w:jc w:val="both"/>
    </w:pPr>
    <w:rPr>
      <w:rFonts w:ascii="Arial" w:eastAsia="Times New Roman" w:hAnsi="Arial" w:cs="Times New Roman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243DC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a4">
    <w:name w:val="Body Text"/>
    <w:basedOn w:val="a"/>
    <w:link w:val="a5"/>
    <w:uiPriority w:val="99"/>
    <w:semiHidden/>
    <w:unhideWhenUsed/>
    <w:rsid w:val="00243DCF"/>
    <w:pPr>
      <w:spacing w:after="120"/>
    </w:pPr>
  </w:style>
  <w:style w:type="character" w:customStyle="1" w:styleId="a5">
    <w:name w:val="Основной текст Знак"/>
    <w:basedOn w:val="a0"/>
    <w:link w:val="a4"/>
    <w:uiPriority w:val="99"/>
    <w:semiHidden/>
    <w:rsid w:val="00243DCF"/>
  </w:style>
  <w:style w:type="paragraph" w:styleId="a6">
    <w:name w:val="Balloon Text"/>
    <w:basedOn w:val="a"/>
    <w:link w:val="a7"/>
    <w:uiPriority w:val="99"/>
    <w:semiHidden/>
    <w:unhideWhenUsed/>
    <w:rsid w:val="004E32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E32FC"/>
    <w:rPr>
      <w:rFonts w:ascii="Tahoma" w:hAnsi="Tahoma" w:cs="Tahoma"/>
      <w:sz w:val="16"/>
      <w:szCs w:val="16"/>
    </w:rPr>
  </w:style>
  <w:style w:type="character" w:styleId="a8">
    <w:name w:val="annotation reference"/>
    <w:basedOn w:val="a0"/>
    <w:uiPriority w:val="99"/>
    <w:semiHidden/>
    <w:unhideWhenUsed/>
    <w:rsid w:val="00F25044"/>
    <w:rPr>
      <w:sz w:val="16"/>
      <w:szCs w:val="16"/>
    </w:rPr>
  </w:style>
  <w:style w:type="paragraph" w:styleId="a9">
    <w:name w:val="annotation text"/>
    <w:basedOn w:val="a"/>
    <w:link w:val="aa"/>
    <w:uiPriority w:val="99"/>
    <w:semiHidden/>
    <w:unhideWhenUsed/>
    <w:rsid w:val="00F25044"/>
    <w:pPr>
      <w:spacing w:line="240" w:lineRule="auto"/>
    </w:pPr>
    <w:rPr>
      <w:sz w:val="20"/>
      <w:szCs w:val="20"/>
    </w:rPr>
  </w:style>
  <w:style w:type="character" w:customStyle="1" w:styleId="aa">
    <w:name w:val="Текст примечания Знак"/>
    <w:basedOn w:val="a0"/>
    <w:link w:val="a9"/>
    <w:uiPriority w:val="99"/>
    <w:semiHidden/>
    <w:rsid w:val="00F25044"/>
    <w:rPr>
      <w:sz w:val="20"/>
      <w:szCs w:val="20"/>
    </w:rPr>
  </w:style>
  <w:style w:type="paragraph" w:styleId="ab">
    <w:name w:val="annotation subject"/>
    <w:basedOn w:val="a9"/>
    <w:next w:val="a9"/>
    <w:link w:val="ac"/>
    <w:uiPriority w:val="99"/>
    <w:semiHidden/>
    <w:unhideWhenUsed/>
    <w:rsid w:val="00F25044"/>
    <w:rPr>
      <w:b/>
      <w:bCs/>
    </w:rPr>
  </w:style>
  <w:style w:type="character" w:customStyle="1" w:styleId="ac">
    <w:name w:val="Тема примечания Знак"/>
    <w:basedOn w:val="aa"/>
    <w:link w:val="ab"/>
    <w:uiPriority w:val="99"/>
    <w:semiHidden/>
    <w:rsid w:val="00F2504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7425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61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250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Алябьева Светлана Анатольевна</cp:lastModifiedBy>
  <cp:revision>2</cp:revision>
  <cp:lastPrinted>2019-02-08T08:15:00Z</cp:lastPrinted>
  <dcterms:created xsi:type="dcterms:W3CDTF">2019-02-13T12:32:00Z</dcterms:created>
  <dcterms:modified xsi:type="dcterms:W3CDTF">2019-02-13T12:32:00Z</dcterms:modified>
</cp:coreProperties>
</file>